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DF706C" w:rsidTr="00C955BD">
        <w:tc>
          <w:tcPr>
            <w:tcW w:w="743" w:type="dxa"/>
          </w:tcPr>
          <w:p w:rsidR="00DF706C" w:rsidRDefault="00DF706C" w:rsidP="00C955BD">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DF706C" w:rsidRDefault="00DF706C" w:rsidP="00C955BD">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DF706C" w:rsidRDefault="00DF706C" w:rsidP="00C955BD">
            <w:pPr>
              <w:rPr>
                <w:rFonts w:ascii="Arial" w:hAnsi="Arial" w:cs="FrankRuehl"/>
                <w:sz w:val="28"/>
                <w:szCs w:val="28"/>
                <w:highlight w:val="yellow"/>
              </w:rPr>
            </w:pPr>
          </w:p>
        </w:tc>
      </w:tr>
      <w:tr w:rsidR="00DF706C" w:rsidTr="00C955BD">
        <w:tc>
          <w:tcPr>
            <w:tcW w:w="3249" w:type="dxa"/>
            <w:gridSpan w:val="2"/>
          </w:tcPr>
          <w:p w:rsidR="00DF706C" w:rsidRDefault="00DF706C" w:rsidP="00C955BD">
            <w:pPr>
              <w:bidi w:val="0"/>
              <w:jc w:val="right"/>
              <w:rPr>
                <w:rFonts w:ascii="Arial" w:hAnsi="Arial"/>
                <w:b/>
                <w:bCs/>
                <w:noProof w:val="0"/>
                <w:sz w:val="26"/>
                <w:szCs w:val="26"/>
              </w:rPr>
            </w:pPr>
          </w:p>
          <w:sdt>
            <w:sdtPr>
              <w:alias w:val="1180"/>
              <w:tag w:val="1180"/>
              <w:id w:val="2064520869"/>
              <w:text w:multiLine="1"/>
            </w:sdtPr>
            <w:sdtEndPr/>
            <w:sdtContent>
              <w:p w:rsidR="00DF706C" w:rsidRDefault="00DF706C" w:rsidP="00C955BD">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DF706C" w:rsidRDefault="00DF706C" w:rsidP="00C955BD">
            <w:pPr>
              <w:rPr>
                <w:rFonts w:ascii="Arial" w:hAnsi="Arial"/>
                <w:b/>
                <w:bCs/>
                <w:noProof w:val="0"/>
                <w:sz w:val="26"/>
                <w:szCs w:val="26"/>
              </w:rPr>
            </w:pPr>
          </w:p>
          <w:p w:rsidR="00DF706C" w:rsidRDefault="0031197B" w:rsidP="00C955BD">
            <w:pPr>
              <w:rPr>
                <w:b/>
                <w:bCs/>
                <w:noProof w:val="0"/>
                <w:sz w:val="26"/>
                <w:szCs w:val="26"/>
                <w:rtl/>
              </w:rPr>
            </w:pPr>
            <w:r>
              <w:rPr>
                <w:rFonts w:ascii="Arial" w:hAnsi="Arial" w:hint="cs"/>
                <w:b/>
                <w:bCs/>
                <w:noProof w:val="0"/>
                <w:sz w:val="26"/>
                <w:szCs w:val="26"/>
                <w:rtl/>
              </w:rPr>
              <w:t>ד.</w:t>
            </w:r>
          </w:p>
          <w:p w:rsidR="00480470" w:rsidRDefault="00480470" w:rsidP="00C955BD">
            <w:pPr>
              <w:rPr>
                <w:b/>
                <w:bCs/>
                <w:noProof w:val="0"/>
                <w:sz w:val="26"/>
                <w:szCs w:val="26"/>
                <w:rtl/>
              </w:rPr>
            </w:pPr>
          </w:p>
          <w:p w:rsidR="00480470" w:rsidRDefault="00480470" w:rsidP="00C955BD">
            <w:pPr>
              <w:rPr>
                <w:noProof w:val="0"/>
                <w:sz w:val="26"/>
                <w:szCs w:val="26"/>
                <w:rtl/>
              </w:rPr>
            </w:pPr>
            <w:r>
              <w:rPr>
                <w:rFonts w:hint="cs"/>
                <w:noProof w:val="0"/>
                <w:sz w:val="26"/>
                <w:szCs w:val="26"/>
                <w:rtl/>
              </w:rPr>
              <w:t xml:space="preserve">ע"י עוה"ד ורדה בן דוד </w:t>
            </w:r>
          </w:p>
          <w:p w:rsidR="00480470" w:rsidRPr="00480470" w:rsidRDefault="00480470" w:rsidP="00C955BD">
            <w:pPr>
              <w:rPr>
                <w:noProof w:val="0"/>
                <w:sz w:val="26"/>
                <w:szCs w:val="26"/>
              </w:rPr>
            </w:pPr>
          </w:p>
        </w:tc>
      </w:tr>
      <w:tr w:rsidR="00DF706C" w:rsidTr="00C955BD">
        <w:tc>
          <w:tcPr>
            <w:tcW w:w="8820" w:type="dxa"/>
            <w:gridSpan w:val="3"/>
          </w:tcPr>
          <w:p w:rsidR="00DF706C" w:rsidRDefault="00DF706C" w:rsidP="00C955BD">
            <w:pPr>
              <w:rPr>
                <w:rFonts w:ascii="Arial" w:hAnsi="Arial"/>
                <w:b/>
                <w:bCs/>
                <w:noProof w:val="0"/>
                <w:sz w:val="26"/>
                <w:szCs w:val="26"/>
                <w:rtl/>
              </w:rPr>
            </w:pPr>
          </w:p>
          <w:p w:rsidR="00DF706C" w:rsidRDefault="00DF706C" w:rsidP="00C955BD">
            <w:pPr>
              <w:jc w:val="center"/>
              <w:rPr>
                <w:rFonts w:ascii="Arial" w:hAnsi="Arial"/>
                <w:b/>
                <w:bCs/>
                <w:noProof w:val="0"/>
                <w:sz w:val="26"/>
                <w:szCs w:val="26"/>
                <w:rtl/>
              </w:rPr>
            </w:pPr>
            <w:r>
              <w:rPr>
                <w:rFonts w:ascii="Arial" w:hAnsi="Arial"/>
                <w:b/>
                <w:bCs/>
                <w:noProof w:val="0"/>
                <w:sz w:val="26"/>
                <w:szCs w:val="26"/>
                <w:rtl/>
              </w:rPr>
              <w:t>נגד</w:t>
            </w:r>
          </w:p>
          <w:p w:rsidR="00DF706C" w:rsidRDefault="00DF706C" w:rsidP="00C955BD">
            <w:pPr>
              <w:rPr>
                <w:rFonts w:ascii="Arial" w:hAnsi="Arial"/>
                <w:b/>
                <w:bCs/>
                <w:noProof w:val="0"/>
                <w:sz w:val="26"/>
                <w:szCs w:val="26"/>
              </w:rPr>
            </w:pPr>
          </w:p>
        </w:tc>
      </w:tr>
      <w:tr w:rsidR="00DF706C" w:rsidTr="00C955BD">
        <w:tc>
          <w:tcPr>
            <w:tcW w:w="3249" w:type="dxa"/>
            <w:gridSpan w:val="2"/>
          </w:tcPr>
          <w:p w:rsidR="00DF706C" w:rsidRDefault="00DF706C" w:rsidP="00C955BD">
            <w:pPr>
              <w:rPr>
                <w:rFonts w:ascii="Arial" w:hAnsi="Arial"/>
                <w:b/>
                <w:bCs/>
                <w:noProof w:val="0"/>
                <w:sz w:val="26"/>
                <w:szCs w:val="26"/>
                <w:rtl/>
              </w:rPr>
            </w:pPr>
          </w:p>
          <w:p w:rsidR="00DF706C" w:rsidRDefault="00FF0E3C" w:rsidP="00C955BD">
            <w:pPr>
              <w:rPr>
                <w:rFonts w:ascii="Arial" w:hAnsi="Arial"/>
                <w:b/>
                <w:bCs/>
                <w:noProof w:val="0"/>
                <w:sz w:val="26"/>
                <w:szCs w:val="26"/>
              </w:rPr>
            </w:pPr>
            <w:sdt>
              <w:sdtPr>
                <w:rPr>
                  <w:rtl/>
                </w:rPr>
                <w:alias w:val="1184"/>
                <w:tag w:val="1184"/>
                <w:id w:val="385841288"/>
                <w:text w:multiLine="1"/>
              </w:sdtPr>
              <w:sdtEndPr/>
              <w:sdtContent>
                <w:r w:rsidR="00DF706C">
                  <w:rPr>
                    <w:rFonts w:ascii="Arial" w:hAnsi="Arial" w:hint="cs"/>
                    <w:b/>
                    <w:bCs/>
                    <w:noProof w:val="0"/>
                    <w:sz w:val="26"/>
                    <w:szCs w:val="26"/>
                    <w:rtl/>
                  </w:rPr>
                  <w:t>משיבה</w:t>
                </w:r>
              </w:sdtContent>
            </w:sdt>
          </w:p>
        </w:tc>
        <w:tc>
          <w:tcPr>
            <w:tcW w:w="5571" w:type="dxa"/>
          </w:tcPr>
          <w:p w:rsidR="00DF706C" w:rsidRDefault="00DF706C" w:rsidP="00C955BD">
            <w:pPr>
              <w:rPr>
                <w:rFonts w:ascii="Arial" w:hAnsi="Arial"/>
                <w:b/>
                <w:bCs/>
                <w:noProof w:val="0"/>
                <w:sz w:val="26"/>
                <w:szCs w:val="26"/>
                <w:rtl/>
              </w:rPr>
            </w:pPr>
          </w:p>
          <w:p w:rsidR="00DF706C" w:rsidRDefault="0031197B" w:rsidP="00C955BD">
            <w:pPr>
              <w:rPr>
                <w:b/>
                <w:bCs/>
                <w:noProof w:val="0"/>
                <w:sz w:val="26"/>
                <w:szCs w:val="26"/>
                <w:rtl/>
              </w:rPr>
            </w:pPr>
            <w:r>
              <w:rPr>
                <w:rFonts w:ascii="Arial" w:hAnsi="Arial" w:hint="cs"/>
                <w:b/>
                <w:bCs/>
                <w:noProof w:val="0"/>
                <w:sz w:val="26"/>
                <w:szCs w:val="26"/>
                <w:rtl/>
              </w:rPr>
              <w:t>פ.</w:t>
            </w:r>
          </w:p>
          <w:p w:rsidR="00480470" w:rsidRDefault="00480470" w:rsidP="00C955BD">
            <w:pPr>
              <w:rPr>
                <w:noProof w:val="0"/>
                <w:sz w:val="26"/>
                <w:szCs w:val="26"/>
                <w:rtl/>
              </w:rPr>
            </w:pPr>
          </w:p>
          <w:p w:rsidR="00480470" w:rsidRDefault="00480470" w:rsidP="00C955BD">
            <w:pPr>
              <w:rPr>
                <w:noProof w:val="0"/>
                <w:sz w:val="26"/>
                <w:szCs w:val="26"/>
                <w:rtl/>
              </w:rPr>
            </w:pPr>
            <w:r>
              <w:rPr>
                <w:rFonts w:hint="cs"/>
                <w:noProof w:val="0"/>
                <w:sz w:val="26"/>
                <w:szCs w:val="26"/>
                <w:rtl/>
              </w:rPr>
              <w:t xml:space="preserve">ע"י עוה"ד ענבל גרשון </w:t>
            </w:r>
          </w:p>
          <w:p w:rsidR="00480470" w:rsidRPr="00480470" w:rsidRDefault="00480470" w:rsidP="00C955BD">
            <w:pPr>
              <w:rPr>
                <w:noProof w:val="0"/>
                <w:sz w:val="26"/>
                <w:szCs w:val="26"/>
                <w:rtl/>
              </w:rPr>
            </w:pPr>
          </w:p>
        </w:tc>
      </w:tr>
      <w:tr w:rsidR="00DF706C" w:rsidTr="00C955BD">
        <w:tc>
          <w:tcPr>
            <w:tcW w:w="8820" w:type="dxa"/>
            <w:gridSpan w:val="3"/>
          </w:tcPr>
          <w:p w:rsidR="00DF706C" w:rsidRDefault="00DF706C" w:rsidP="00C955BD">
            <w:pPr>
              <w:rPr>
                <w:b/>
                <w:bCs/>
                <w:sz w:val="26"/>
                <w:szCs w:val="26"/>
              </w:rPr>
            </w:pPr>
          </w:p>
          <w:p w:rsidR="00DF706C" w:rsidRDefault="00DF706C" w:rsidP="00C955BD">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F706C" w:rsidTr="00C955BD">
        <w:trPr>
          <w:jc w:val="center"/>
        </w:trPr>
        <w:tc>
          <w:tcPr>
            <w:tcW w:w="8820" w:type="dxa"/>
          </w:tcPr>
          <w:p w:rsidR="00DF706C" w:rsidRDefault="00DF706C" w:rsidP="00C955BD">
            <w:pPr>
              <w:bidi w:val="0"/>
              <w:jc w:val="center"/>
              <w:rPr>
                <w:rFonts w:ascii="Arial" w:hAnsi="Arial"/>
                <w:b/>
                <w:bCs/>
                <w:noProof w:val="0"/>
                <w:sz w:val="26"/>
                <w:szCs w:val="26"/>
              </w:rPr>
            </w:pPr>
          </w:p>
          <w:p w:rsidR="00DF706C" w:rsidRPr="00E91F3C" w:rsidRDefault="00DF706C" w:rsidP="00C955BD">
            <w:pPr>
              <w:bidi w:val="0"/>
              <w:jc w:val="center"/>
              <w:rPr>
                <w:rFonts w:ascii="Arial" w:hAnsi="Arial"/>
                <w:b/>
                <w:bCs/>
                <w:i/>
                <w:iCs/>
                <w:noProof w:val="0"/>
                <w:sz w:val="36"/>
                <w:szCs w:val="36"/>
                <w:u w:val="single"/>
              </w:rPr>
            </w:pPr>
            <w:r w:rsidRPr="00E91F3C">
              <w:rPr>
                <w:rFonts w:ascii="Arial" w:hAnsi="Arial" w:hint="cs"/>
                <w:b/>
                <w:bCs/>
                <w:i/>
                <w:iCs/>
                <w:noProof w:val="0"/>
                <w:sz w:val="36"/>
                <w:szCs w:val="36"/>
                <w:u w:val="single"/>
                <w:rtl/>
              </w:rPr>
              <w:t>החלטה</w:t>
            </w:r>
          </w:p>
        </w:tc>
      </w:tr>
    </w:tbl>
    <w:p w:rsidR="00DF706C" w:rsidRDefault="00DF706C" w:rsidP="00DF706C">
      <w:pPr>
        <w:spacing w:line="360" w:lineRule="auto"/>
        <w:jc w:val="both"/>
        <w:rPr>
          <w:rFonts w:ascii="Arial" w:hAnsi="Arial"/>
          <w:noProof w:val="0"/>
          <w:rtl/>
        </w:rPr>
      </w:pPr>
    </w:p>
    <w:p w:rsidR="00DF706C" w:rsidRDefault="00DF706C" w:rsidP="00DF706C">
      <w:pPr>
        <w:spacing w:line="360" w:lineRule="auto"/>
        <w:jc w:val="both"/>
        <w:rPr>
          <w:noProof w:val="0"/>
        </w:rPr>
      </w:pPr>
      <w:r>
        <w:rPr>
          <w:rFonts w:hint="cs"/>
          <w:rtl/>
        </w:rPr>
        <w:t>לפניי בקשה לפסיקת הוצאות משפט (להלן: "</w:t>
      </w:r>
      <w:r>
        <w:rPr>
          <w:rFonts w:hint="cs"/>
          <w:b/>
          <w:bCs/>
          <w:rtl/>
        </w:rPr>
        <w:t>הבקשה</w:t>
      </w:r>
      <w:r>
        <w:rPr>
          <w:rFonts w:hint="cs"/>
          <w:rtl/>
        </w:rPr>
        <w:t>").</w:t>
      </w:r>
    </w:p>
    <w:p w:rsidR="00DF706C" w:rsidRDefault="00DF706C" w:rsidP="00DF706C">
      <w:pPr>
        <w:spacing w:line="360" w:lineRule="auto"/>
        <w:jc w:val="both"/>
        <w:rPr>
          <w:rtl/>
        </w:rPr>
      </w:pPr>
    </w:p>
    <w:p w:rsidR="00DF706C" w:rsidRDefault="00DF706C" w:rsidP="00DF706C">
      <w:pPr>
        <w:spacing w:line="360" w:lineRule="auto"/>
        <w:jc w:val="both"/>
        <w:rPr>
          <w:rtl/>
        </w:rPr>
      </w:pPr>
      <w:r>
        <w:rPr>
          <w:rFonts w:hint="cs"/>
          <w:rtl/>
        </w:rPr>
        <w:t>במסגרת הבקשה עתר הנתבע (להלן: "</w:t>
      </w:r>
      <w:r>
        <w:rPr>
          <w:rFonts w:hint="cs"/>
          <w:b/>
          <w:bCs/>
          <w:rtl/>
        </w:rPr>
        <w:t>המבקש</w:t>
      </w:r>
      <w:r>
        <w:rPr>
          <w:rFonts w:hint="cs"/>
          <w:rtl/>
        </w:rPr>
        <w:t>") לחייב את התובעת (להלן: "</w:t>
      </w:r>
      <w:r>
        <w:rPr>
          <w:rFonts w:hint="cs"/>
          <w:b/>
          <w:bCs/>
          <w:rtl/>
        </w:rPr>
        <w:t>המשיבה</w:t>
      </w:r>
      <w:r>
        <w:rPr>
          <w:rFonts w:hint="cs"/>
          <w:rtl/>
        </w:rPr>
        <w:t>") בהוצאות משפט בסך של 23,550 ₪ בגין הוצאות שנדרש לשלם עבור ניהול שני הליכים משפטיים שהגישה נגדו המשיבה: תביעה רכושית שהוגשה במסגרת תלה"מ 40549-05-24 ותביעה למזונות משקמים עבור התובעת שהוגשה במסגרת תלה"מ 63104-05-23 (להלן: "</w:t>
      </w:r>
      <w:r>
        <w:rPr>
          <w:rFonts w:hint="cs"/>
          <w:b/>
          <w:bCs/>
          <w:rtl/>
        </w:rPr>
        <w:t>התביעות</w:t>
      </w:r>
      <w:r>
        <w:rPr>
          <w:rFonts w:hint="cs"/>
          <w:rtl/>
        </w:rPr>
        <w:t>").</w:t>
      </w:r>
    </w:p>
    <w:p w:rsidR="00DF706C" w:rsidRDefault="00DF706C" w:rsidP="00DF706C">
      <w:pPr>
        <w:spacing w:line="360" w:lineRule="auto"/>
        <w:jc w:val="both"/>
        <w:rPr>
          <w:rtl/>
        </w:rPr>
      </w:pPr>
    </w:p>
    <w:p w:rsidR="00DF706C" w:rsidRDefault="00DF706C" w:rsidP="00DF706C">
      <w:pPr>
        <w:spacing w:line="360" w:lineRule="auto"/>
        <w:jc w:val="both"/>
        <w:rPr>
          <w:rtl/>
        </w:rPr>
      </w:pPr>
      <w:r>
        <w:rPr>
          <w:rFonts w:hint="cs"/>
          <w:rtl/>
        </w:rPr>
        <w:t>הרקע להגשת הבקשות הינו כי התביעות נמחקו מחוסר מעש בהתאם להתראה שנשלחה ביום 27.12.23.</w:t>
      </w:r>
    </w:p>
    <w:p w:rsidR="00DF706C" w:rsidRDefault="00DF706C" w:rsidP="00DF706C">
      <w:pPr>
        <w:spacing w:line="360" w:lineRule="auto"/>
        <w:jc w:val="both"/>
        <w:rPr>
          <w:rtl/>
        </w:rPr>
      </w:pPr>
    </w:p>
    <w:p w:rsidR="00DF706C" w:rsidRDefault="00DF706C" w:rsidP="00DF706C">
      <w:pPr>
        <w:spacing w:line="360" w:lineRule="auto"/>
        <w:jc w:val="both"/>
        <w:rPr>
          <w:b/>
          <w:bCs/>
          <w:u w:val="single"/>
          <w:rtl/>
        </w:rPr>
      </w:pPr>
      <w:r>
        <w:rPr>
          <w:rFonts w:hint="cs"/>
          <w:b/>
          <w:bCs/>
          <w:u w:val="single"/>
          <w:rtl/>
        </w:rPr>
        <w:t>עיקר טענות המבקש</w:t>
      </w:r>
    </w:p>
    <w:p w:rsidR="00DF706C" w:rsidRDefault="00DF706C" w:rsidP="00DF706C">
      <w:pPr>
        <w:spacing w:line="360" w:lineRule="auto"/>
        <w:jc w:val="both"/>
        <w:rPr>
          <w:rtl/>
        </w:rPr>
      </w:pPr>
    </w:p>
    <w:p w:rsidR="00DF706C" w:rsidRDefault="00DF706C" w:rsidP="00DF706C">
      <w:pPr>
        <w:pStyle w:val="aa"/>
        <w:numPr>
          <w:ilvl w:val="0"/>
          <w:numId w:val="1"/>
        </w:numPr>
        <w:spacing w:line="360" w:lineRule="auto"/>
        <w:jc w:val="both"/>
        <w:rPr>
          <w:rtl/>
        </w:rPr>
      </w:pPr>
      <w:r>
        <w:rPr>
          <w:rFonts w:cs="David" w:hint="cs"/>
          <w:rtl/>
        </w:rPr>
        <w:t>הדרישה היא להוצאות בגין ניהול הליכי סרק שנכפו על המבקש.</w:t>
      </w:r>
    </w:p>
    <w:p w:rsidR="00DF706C" w:rsidRDefault="00DF706C" w:rsidP="00DF706C">
      <w:pPr>
        <w:pStyle w:val="aa"/>
        <w:spacing w:line="360" w:lineRule="auto"/>
        <w:jc w:val="both"/>
      </w:pPr>
    </w:p>
    <w:p w:rsidR="00DF706C" w:rsidRDefault="00DF706C" w:rsidP="00DF706C">
      <w:pPr>
        <w:pStyle w:val="aa"/>
        <w:numPr>
          <w:ilvl w:val="0"/>
          <w:numId w:val="1"/>
        </w:numPr>
        <w:spacing w:line="360" w:lineRule="auto"/>
        <w:jc w:val="both"/>
      </w:pPr>
      <w:r>
        <w:rPr>
          <w:rFonts w:cs="David" w:hint="cs"/>
          <w:rtl/>
        </w:rPr>
        <w:t>ניסיונות המבקש להגיע להסכמה עם המשיבה בעניין דחיית התביעות והשבת שכר הטרחה, לא הניבו פרי.</w:t>
      </w:r>
    </w:p>
    <w:p w:rsidR="00DF706C" w:rsidRDefault="00DF706C" w:rsidP="00DF706C">
      <w:pPr>
        <w:pStyle w:val="aa"/>
      </w:pPr>
    </w:p>
    <w:p w:rsidR="00DF706C" w:rsidRDefault="00DF706C" w:rsidP="00DF706C">
      <w:pPr>
        <w:pStyle w:val="aa"/>
        <w:numPr>
          <w:ilvl w:val="0"/>
          <w:numId w:val="1"/>
        </w:numPr>
        <w:spacing w:line="360" w:lineRule="auto"/>
        <w:jc w:val="both"/>
        <w:rPr>
          <w:rFonts w:cs="David"/>
          <w:rtl/>
        </w:rPr>
      </w:pPr>
      <w:r>
        <w:rPr>
          <w:rFonts w:cs="David" w:hint="cs"/>
          <w:rtl/>
        </w:rPr>
        <w:t>בקשת המשיבה לפסיקת מזונות זמניים עבורה נדחתה, בין היתר, בנימוק אשר לפיו שאלת היותם של הצדדים ידועים בציבור שנויה במחלוקת.</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מחיקת התביעות ללא חיוב המשיבה בהוצאות משפט הינה פרס למשיבה, אשר תמשיך להלך אימים על המבקש.</w:t>
      </w:r>
    </w:p>
    <w:p w:rsidR="00DF706C" w:rsidRDefault="00DF706C" w:rsidP="00DF706C">
      <w:pPr>
        <w:pStyle w:val="aa"/>
        <w:rPr>
          <w:rFonts w:cs="David"/>
        </w:rPr>
      </w:pPr>
    </w:p>
    <w:p w:rsidR="00DF706C" w:rsidRDefault="00DF706C" w:rsidP="00DF706C">
      <w:pPr>
        <w:spacing w:line="360" w:lineRule="auto"/>
        <w:jc w:val="both"/>
        <w:rPr>
          <w:b/>
          <w:bCs/>
          <w:u w:val="single"/>
          <w:rtl/>
        </w:rPr>
      </w:pPr>
      <w:r>
        <w:rPr>
          <w:rFonts w:hint="cs"/>
          <w:b/>
          <w:bCs/>
          <w:u w:val="single"/>
          <w:rtl/>
        </w:rPr>
        <w:t>עיקר טענות המשיבה</w:t>
      </w:r>
    </w:p>
    <w:p w:rsidR="00DF706C" w:rsidRDefault="00DF706C" w:rsidP="00DF706C">
      <w:pPr>
        <w:pStyle w:val="aa"/>
        <w:rPr>
          <w:rFonts w:cs="David"/>
        </w:rPr>
      </w:pPr>
    </w:p>
    <w:p w:rsidR="00DF706C" w:rsidRDefault="00DF706C" w:rsidP="00301612">
      <w:pPr>
        <w:pStyle w:val="aa"/>
        <w:numPr>
          <w:ilvl w:val="0"/>
          <w:numId w:val="1"/>
        </w:numPr>
        <w:spacing w:line="360" w:lineRule="auto"/>
        <w:jc w:val="both"/>
        <w:rPr>
          <w:rFonts w:cs="David"/>
          <w:rtl/>
        </w:rPr>
      </w:pPr>
      <w:r>
        <w:rPr>
          <w:rFonts w:cs="David" w:hint="cs"/>
          <w:rtl/>
        </w:rPr>
        <w:t xml:space="preserve">באמצע </w:t>
      </w:r>
      <w:r w:rsidR="00301612">
        <w:rPr>
          <w:rFonts w:cs="David" w:hint="cs"/>
          <w:rtl/>
        </w:rPr>
        <w:t>***</w:t>
      </w:r>
      <w:r>
        <w:rPr>
          <w:rFonts w:cs="David" w:hint="cs"/>
          <w:rtl/>
        </w:rPr>
        <w:t xml:space="preserve"> 2023 המבקש החל לחזר אחר המשיבה, והמשיבה האמינה כי כוונתו לחזור לחיים משותפים הינה כנה ואמיתית. </w:t>
      </w:r>
    </w:p>
    <w:p w:rsidR="00DF706C" w:rsidRDefault="00DF706C" w:rsidP="00DF706C">
      <w:pPr>
        <w:pStyle w:val="aa"/>
        <w:spacing w:line="360" w:lineRule="auto"/>
        <w:jc w:val="both"/>
        <w:rPr>
          <w:rFonts w:cs="David"/>
        </w:rPr>
      </w:pPr>
    </w:p>
    <w:p w:rsidR="00DF706C" w:rsidRDefault="00DF706C" w:rsidP="00DF706C">
      <w:pPr>
        <w:pStyle w:val="aa"/>
        <w:numPr>
          <w:ilvl w:val="0"/>
          <w:numId w:val="1"/>
        </w:numPr>
        <w:spacing w:line="360" w:lineRule="auto"/>
        <w:jc w:val="both"/>
        <w:rPr>
          <w:rFonts w:cs="David"/>
        </w:rPr>
      </w:pPr>
      <w:r>
        <w:rPr>
          <w:rFonts w:cs="David" w:hint="cs"/>
          <w:rtl/>
        </w:rPr>
        <w:t>הצדדים שבו להתגורר בבית המבקש.</w:t>
      </w:r>
    </w:p>
    <w:p w:rsidR="00DF706C" w:rsidRDefault="00DF706C" w:rsidP="00DF706C">
      <w:pPr>
        <w:pStyle w:val="aa"/>
        <w:rPr>
          <w:rFonts w:cs="David"/>
        </w:rPr>
      </w:pPr>
    </w:p>
    <w:p w:rsidR="00DF706C" w:rsidRDefault="00DF706C" w:rsidP="00301612">
      <w:pPr>
        <w:pStyle w:val="aa"/>
        <w:numPr>
          <w:ilvl w:val="0"/>
          <w:numId w:val="1"/>
        </w:numPr>
        <w:spacing w:line="360" w:lineRule="auto"/>
        <w:jc w:val="both"/>
        <w:rPr>
          <w:rFonts w:cs="David"/>
          <w:rtl/>
        </w:rPr>
      </w:pPr>
      <w:r>
        <w:rPr>
          <w:rFonts w:cs="David" w:hint="cs"/>
          <w:rtl/>
        </w:rPr>
        <w:t xml:space="preserve">ביום </w:t>
      </w:r>
      <w:r w:rsidR="00301612">
        <w:rPr>
          <w:rFonts w:cs="David" w:hint="cs"/>
          <w:rtl/>
        </w:rPr>
        <w:t>00</w:t>
      </w:r>
      <w:r>
        <w:rPr>
          <w:rFonts w:cs="David" w:hint="cs"/>
          <w:rtl/>
        </w:rPr>
        <w:t>.</w:t>
      </w:r>
      <w:r w:rsidR="00301612">
        <w:rPr>
          <w:rFonts w:cs="David" w:hint="cs"/>
          <w:rtl/>
        </w:rPr>
        <w:t>00</w:t>
      </w:r>
      <w:r>
        <w:rPr>
          <w:rFonts w:cs="David" w:hint="cs"/>
          <w:rtl/>
        </w:rPr>
        <w:t>.23 המבקש אף הזמין את המשיבה להצטרף אליו למסיבת מחזור של הכיתה מבית הספר היסודי שלו.</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כעבור זמן מה, פנה המבקש אל המשיבה בדרישה שתדחה את התביעות ותשתתף בהוצאות שכ"ט עו"ד. ברגע זה הבינה המשיבה כי חיזורי המבקש אחריה היו חלק מהתוכנית הזדונית של המבקש לגרום למשיבה לזנוח את התביעות.</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בד בבד עם הגשת התגובה, מוגשת בקשה לביטול ההחלטות, המורות על מחיקת התביעות מחוסר מעש.</w:t>
      </w:r>
    </w:p>
    <w:p w:rsidR="00DF706C" w:rsidRDefault="00DF706C" w:rsidP="00DF706C">
      <w:pPr>
        <w:pStyle w:val="aa"/>
        <w:rPr>
          <w:rFonts w:cs="David"/>
        </w:rPr>
      </w:pPr>
    </w:p>
    <w:p w:rsidR="00DF706C" w:rsidRDefault="00DF706C" w:rsidP="00DF706C">
      <w:pPr>
        <w:spacing w:line="360" w:lineRule="auto"/>
        <w:jc w:val="both"/>
        <w:rPr>
          <w:b/>
          <w:bCs/>
          <w:u w:val="single"/>
          <w:rtl/>
        </w:rPr>
      </w:pPr>
      <w:r>
        <w:rPr>
          <w:rFonts w:hint="cs"/>
          <w:b/>
          <w:bCs/>
          <w:u w:val="single"/>
          <w:rtl/>
        </w:rPr>
        <w:t>הכרעה</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לאחר עיון בעמדות הצדדים, הגעתי למסקנה כי דין הבקשה להתקבל במלואה.</w:t>
      </w:r>
    </w:p>
    <w:p w:rsidR="00DF706C" w:rsidRDefault="00DF706C" w:rsidP="00DF706C">
      <w:pPr>
        <w:pStyle w:val="aa"/>
        <w:spacing w:line="360" w:lineRule="auto"/>
        <w:jc w:val="both"/>
        <w:rPr>
          <w:rFonts w:cs="David"/>
        </w:rPr>
      </w:pPr>
    </w:p>
    <w:p w:rsidR="00DF706C" w:rsidRDefault="00DF706C" w:rsidP="00DF706C">
      <w:pPr>
        <w:pStyle w:val="aa"/>
        <w:numPr>
          <w:ilvl w:val="0"/>
          <w:numId w:val="1"/>
        </w:numPr>
        <w:spacing w:line="360" w:lineRule="auto"/>
        <w:jc w:val="both"/>
        <w:rPr>
          <w:rFonts w:cs="David"/>
        </w:rPr>
      </w:pPr>
      <w:r>
        <w:rPr>
          <w:rFonts w:cs="David" w:hint="cs"/>
          <w:rtl/>
        </w:rPr>
        <w:t>תקנה 151 (א) לתקנות סדר הדין האזרחי, התשע"ט–2018 (להלן: "</w:t>
      </w:r>
      <w:r>
        <w:rPr>
          <w:rFonts w:cs="David" w:hint="cs"/>
          <w:b/>
          <w:bCs/>
          <w:rtl/>
        </w:rPr>
        <w:t>התקנות</w:t>
      </w:r>
      <w:r>
        <w:rPr>
          <w:rFonts w:cs="David" w:hint="cs"/>
          <w:rtl/>
        </w:rPr>
        <w:t>") קובעת כי:</w:t>
      </w:r>
    </w:p>
    <w:p w:rsidR="00DF706C" w:rsidRDefault="00DF706C" w:rsidP="00DF706C">
      <w:pPr>
        <w:pStyle w:val="aa"/>
        <w:rPr>
          <w:rFonts w:cs="David"/>
        </w:rPr>
      </w:pPr>
    </w:p>
    <w:p w:rsidR="00DF706C" w:rsidRDefault="00DF706C" w:rsidP="00DF706C">
      <w:pPr>
        <w:spacing w:line="360" w:lineRule="auto"/>
        <w:ind w:left="1133" w:right="1134"/>
        <w:jc w:val="both"/>
        <w:rPr>
          <w:b/>
          <w:bCs/>
          <w:rtl/>
        </w:rPr>
      </w:pPr>
      <w:r>
        <w:rPr>
          <w:rFonts w:hint="cs"/>
          <w:b/>
          <w:bCs/>
          <w:color w:val="000000"/>
          <w:shd w:val="clear" w:color="auto" w:fill="FFFFFF"/>
          <w:rtl/>
        </w:rPr>
        <w:t>"חיוב בעל דין בתשלום הוצאות נועד לשפות את בעל הדין שכנגד על הוצאותיו בהליך בהתחשב בתוצאותיו, במשאבים שנדרשו לניהולו ובהתנהלות בעלי הדין</w:t>
      </w:r>
      <w:r>
        <w:rPr>
          <w:b/>
          <w:bCs/>
          <w:color w:val="000000"/>
          <w:shd w:val="clear" w:color="auto" w:fill="FFFFFF"/>
        </w:rPr>
        <w:t>"</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בהתאם להוראות התקנות, הכלל הוא כי ברירת המחדל היא פסיקת הוצאות משפט והימנעות מפסיקת הוצאות משפט הינה בבחינת חריג </w:t>
      </w:r>
      <w:r>
        <w:rPr>
          <w:rFonts w:cs="David" w:hint="cs"/>
          <w:b/>
          <w:bCs/>
          <w:rtl/>
        </w:rPr>
        <w:t>ראו</w:t>
      </w:r>
      <w:r>
        <w:rPr>
          <w:rFonts w:cs="David" w:hint="cs"/>
          <w:rtl/>
        </w:rPr>
        <w:t xml:space="preserve">: רע"א 1689/24 </w:t>
      </w:r>
      <w:r>
        <w:rPr>
          <w:rFonts w:cs="David" w:hint="cs"/>
          <w:b/>
          <w:bCs/>
          <w:rtl/>
        </w:rPr>
        <w:t>ינקילוב</w:t>
      </w:r>
      <w:r>
        <w:rPr>
          <w:rFonts w:cs="David" w:hint="cs"/>
          <w:rtl/>
        </w:rPr>
        <w:t xml:space="preserve"> </w:t>
      </w:r>
      <w:r>
        <w:rPr>
          <w:rFonts w:cs="David" w:hint="cs"/>
          <w:b/>
          <w:bCs/>
          <w:rtl/>
        </w:rPr>
        <w:t>נ' נחשונוב שמחייב</w:t>
      </w:r>
      <w:r>
        <w:rPr>
          <w:rFonts w:cs="David" w:hint="cs"/>
          <w:rtl/>
        </w:rPr>
        <w:t xml:space="preserve"> (21.3.2024).</w:t>
      </w:r>
    </w:p>
    <w:p w:rsidR="00DF706C" w:rsidRDefault="00DF706C" w:rsidP="00DF706C">
      <w:pPr>
        <w:pStyle w:val="aa"/>
        <w:spacing w:line="360" w:lineRule="auto"/>
        <w:jc w:val="both"/>
        <w:rPr>
          <w:rFonts w:cs="David"/>
        </w:rPr>
      </w:pPr>
    </w:p>
    <w:p w:rsidR="00DF706C" w:rsidRDefault="00DF706C" w:rsidP="00DF706C">
      <w:pPr>
        <w:pStyle w:val="aa"/>
        <w:numPr>
          <w:ilvl w:val="0"/>
          <w:numId w:val="1"/>
        </w:numPr>
        <w:spacing w:line="360" w:lineRule="auto"/>
        <w:jc w:val="both"/>
        <w:rPr>
          <w:rFonts w:cs="David"/>
        </w:rPr>
      </w:pPr>
      <w:r>
        <w:rPr>
          <w:rFonts w:cs="David" w:hint="cs"/>
          <w:rtl/>
        </w:rPr>
        <w:t xml:space="preserve">במקרה בו הליך משפטי נמחק ביוזמת התובע, הכלל הוא כי התובע צריך וחייב להניח כי יריבו יזדקק לשירותים משפטיים ויישא בהוצאות כדי לעמוד על זכויותיו, וכפועל יוצא מכך חייב הוא להניח כי אם הוא חוזר בו מן ההליך שנקט, יעמוד יריבו על חיובו בהוצאות שנגרמו לו </w:t>
      </w:r>
      <w:r>
        <w:rPr>
          <w:rFonts w:cs="David" w:hint="cs"/>
          <w:b/>
          <w:bCs/>
          <w:rtl/>
        </w:rPr>
        <w:t>ראו</w:t>
      </w:r>
      <w:r>
        <w:rPr>
          <w:rFonts w:cs="David" w:hint="cs"/>
          <w:rtl/>
        </w:rPr>
        <w:t xml:space="preserve">: ע"א 2434/17 </w:t>
      </w:r>
      <w:r>
        <w:rPr>
          <w:rFonts w:cs="David" w:hint="cs"/>
          <w:b/>
          <w:bCs/>
          <w:rtl/>
        </w:rPr>
        <w:t>שר התחבורה נ' אלמליח</w:t>
      </w:r>
      <w:r>
        <w:rPr>
          <w:rFonts w:cs="David" w:hint="cs"/>
          <w:rtl/>
        </w:rPr>
        <w:t xml:space="preserve"> (21.6.2018)‏‏.</w:t>
      </w:r>
    </w:p>
    <w:p w:rsidR="00DF706C" w:rsidRDefault="00DF706C" w:rsidP="00DF706C">
      <w:pPr>
        <w:pStyle w:val="aa"/>
        <w:numPr>
          <w:ilvl w:val="0"/>
          <w:numId w:val="1"/>
        </w:numPr>
        <w:spacing w:line="360" w:lineRule="auto"/>
        <w:jc w:val="both"/>
        <w:rPr>
          <w:rFonts w:cs="David"/>
          <w:rtl/>
        </w:rPr>
      </w:pPr>
      <w:r>
        <w:rPr>
          <w:rFonts w:cs="David" w:hint="cs"/>
          <w:rtl/>
        </w:rPr>
        <w:lastRenderedPageBreak/>
        <w:t xml:space="preserve">במקרה בו אין הכרעה שיפוטית הקובעת את צדקת הגשת הליך, הנחת המוצא היא כי בעל הדין אשר גרם להוצאות הוא שצריך לשאת בהן </w:t>
      </w:r>
      <w:r>
        <w:rPr>
          <w:rFonts w:cs="David" w:hint="cs"/>
          <w:b/>
          <w:bCs/>
          <w:rtl/>
        </w:rPr>
        <w:t>ראו</w:t>
      </w:r>
      <w:r>
        <w:rPr>
          <w:rFonts w:cs="David" w:hint="cs"/>
          <w:rtl/>
        </w:rPr>
        <w:t xml:space="preserve">: ת"א (מחוזי ת"א) 55446-10-23 </w:t>
      </w:r>
      <w:r>
        <w:rPr>
          <w:rFonts w:cs="David" w:hint="cs"/>
          <w:b/>
          <w:bCs/>
          <w:rtl/>
        </w:rPr>
        <w:t xml:space="preserve">תאת טכנולוגיות בע"מ נ' סי אנד ג'י לוגיסטיקס סולושינס בע"מ </w:t>
      </w:r>
      <w:r>
        <w:rPr>
          <w:rFonts w:cs="David" w:hint="cs"/>
          <w:rtl/>
        </w:rPr>
        <w:t xml:space="preserve">(30.11.2023). </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הנחת יסוד זו ניתנת אומנם לסתירה, אך הנטל לסתור אותה מוטל על יוזם ההליך </w:t>
      </w:r>
      <w:r>
        <w:rPr>
          <w:rFonts w:cs="David" w:hint="cs"/>
          <w:b/>
          <w:bCs/>
          <w:rtl/>
        </w:rPr>
        <w:t>ראו</w:t>
      </w:r>
      <w:r>
        <w:rPr>
          <w:rFonts w:cs="David" w:hint="cs"/>
          <w:rtl/>
        </w:rPr>
        <w:t xml:space="preserve">: רע"א 2081/08 </w:t>
      </w:r>
      <w:r>
        <w:rPr>
          <w:rFonts w:cs="David" w:hint="cs"/>
          <w:b/>
          <w:bCs/>
          <w:rtl/>
        </w:rPr>
        <w:t>שאשא נ' א.פ.י.אף יזמות והשקעות</w:t>
      </w:r>
      <w:r>
        <w:rPr>
          <w:rFonts w:cs="David" w:hint="cs"/>
          <w:rtl/>
        </w:rPr>
        <w:t xml:space="preserve"> (12.11.2008); עע"ם 7026/10 </w:t>
      </w:r>
      <w:r>
        <w:rPr>
          <w:rFonts w:cs="David" w:hint="cs"/>
          <w:b/>
          <w:bCs/>
          <w:rtl/>
        </w:rPr>
        <w:t xml:space="preserve">באר מרים 26 שי בע"מ נ' מחלקת רישוי עסקים – עירית טבריה </w:t>
      </w:r>
      <w:r>
        <w:rPr>
          <w:rFonts w:cs="David" w:hint="cs"/>
          <w:rtl/>
        </w:rPr>
        <w:t>(5.1.2012).</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במילים אחרות, בהיעדר נסיבות מיוחדות, ככל שהדיון בתובענה מופסק ביוזמת התובע ונגרמו לנתבע הוצאות משום שנדרש לניהול ההליך – ראוי שהתובע יישא בתשלום ההוצאות </w:t>
      </w:r>
      <w:r>
        <w:rPr>
          <w:rFonts w:cs="David" w:hint="cs"/>
          <w:b/>
          <w:bCs/>
          <w:rtl/>
        </w:rPr>
        <w:t>ראו</w:t>
      </w:r>
      <w:r>
        <w:rPr>
          <w:rFonts w:cs="David" w:hint="cs"/>
          <w:rtl/>
        </w:rPr>
        <w:t xml:space="preserve">: ע"א 3008/06 </w:t>
      </w:r>
      <w:r>
        <w:rPr>
          <w:rFonts w:cs="David" w:hint="cs"/>
          <w:b/>
          <w:bCs/>
          <w:rtl/>
        </w:rPr>
        <w:t>ניר נ' רבינוביץ – יו"ר הרשות לבקרה תקציבית</w:t>
      </w:r>
      <w:r>
        <w:rPr>
          <w:rFonts w:cs="David" w:hint="cs"/>
          <w:rtl/>
        </w:rPr>
        <w:t xml:space="preserve"> (24.1.2008); ת"א 37107-01-23 </w:t>
      </w:r>
      <w:r>
        <w:rPr>
          <w:rFonts w:cs="David" w:hint="cs"/>
          <w:b/>
          <w:bCs/>
          <w:rtl/>
        </w:rPr>
        <w:t xml:space="preserve">תומר נ' רשות מקרקעי ישראל </w:t>
      </w:r>
      <w:r>
        <w:rPr>
          <w:rFonts w:cs="David" w:hint="cs"/>
          <w:rtl/>
        </w:rPr>
        <w:t>(23.6.2024).</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הפסיקה דלעיל עוסקת אומנם בבקשה יזומה של התובע להורות על הפסקת בירור ההליך, אך כוחה יפה, לטעמי, גם למקרה בו התביעה נמחקת מחוסר מעש. אחרת, עשוי להיווצר מצב בו התובע שתביעתו נמחקה בשל ישיבתו בחיבוק ידיים ייצא נשכר, בעוד שליריבו אשר נדרש להגן על זכויותיו על דרך נטילת ייצוג משפטי ואגב ביצוע התשלום עבור ייצוג משפטי זה, ייגרם חיסרון כיס.</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Pr>
      </w:pPr>
      <w:r>
        <w:rPr>
          <w:rFonts w:cs="David" w:hint="cs"/>
          <w:rtl/>
        </w:rPr>
        <w:t xml:space="preserve">טענת המשיבה כי המבקש הוליך אותה שולל, תוך יצירת מצג </w:t>
      </w:r>
      <w:r w:rsidR="00301612">
        <w:rPr>
          <w:rFonts w:cs="David" w:hint="cs"/>
          <w:rtl/>
        </w:rPr>
        <w:t xml:space="preserve">אשר </w:t>
      </w:r>
      <w:r>
        <w:rPr>
          <w:rFonts w:cs="David" w:hint="cs"/>
          <w:rtl/>
        </w:rPr>
        <w:t xml:space="preserve">לפיו הצדדים חזרו לחיות יחד, אין בה כדי לסייע למשיבה. </w:t>
      </w:r>
    </w:p>
    <w:p w:rsidR="00DF706C" w:rsidRPr="00E91F3C" w:rsidRDefault="00DF706C" w:rsidP="00DF706C">
      <w:pPr>
        <w:pStyle w:val="aa"/>
        <w:rPr>
          <w:rFonts w:cs="David"/>
          <w:rtl/>
        </w:rPr>
      </w:pPr>
    </w:p>
    <w:p w:rsidR="00DF706C" w:rsidRDefault="00DF706C" w:rsidP="00DF706C">
      <w:pPr>
        <w:pStyle w:val="aa"/>
        <w:numPr>
          <w:ilvl w:val="0"/>
          <w:numId w:val="1"/>
        </w:numPr>
        <w:spacing w:line="360" w:lineRule="auto"/>
        <w:jc w:val="both"/>
        <w:rPr>
          <w:rFonts w:cs="David"/>
        </w:rPr>
      </w:pPr>
      <w:r>
        <w:rPr>
          <w:rFonts w:cs="David" w:hint="cs"/>
          <w:rtl/>
        </w:rPr>
        <w:t xml:space="preserve">התובע הוא "אדון לתביעתו" </w:t>
      </w:r>
      <w:r>
        <w:rPr>
          <w:rFonts w:cs="David" w:hint="cs"/>
          <w:b/>
          <w:bCs/>
          <w:rtl/>
        </w:rPr>
        <w:t>ראו</w:t>
      </w:r>
      <w:r>
        <w:rPr>
          <w:rFonts w:cs="David" w:hint="cs"/>
          <w:rtl/>
        </w:rPr>
        <w:t xml:space="preserve">: תמ"ש 22300-10-17 </w:t>
      </w:r>
      <w:r>
        <w:rPr>
          <w:rFonts w:cs="David" w:hint="cs"/>
          <w:b/>
          <w:bCs/>
          <w:rtl/>
        </w:rPr>
        <w:t>י.פ. נ' א.פ.</w:t>
      </w:r>
      <w:r>
        <w:rPr>
          <w:rFonts w:cs="David" w:hint="cs"/>
          <w:rtl/>
        </w:rPr>
        <w:t xml:space="preserve"> (22.7.2024). יחד עם זאת מיום שמוגשת תביעה לבית משפט, אין הצדדים אדונים לאופן ההתנהלות, אלא הם כפופים לדין ולהחלטות בית משפט </w:t>
      </w:r>
      <w:r>
        <w:rPr>
          <w:rFonts w:cs="David" w:hint="cs"/>
          <w:b/>
          <w:bCs/>
          <w:rtl/>
        </w:rPr>
        <w:t>ראו</w:t>
      </w:r>
      <w:r>
        <w:rPr>
          <w:rFonts w:cs="David" w:hint="cs"/>
          <w:rtl/>
        </w:rPr>
        <w:t xml:space="preserve">: רע"א 16833-08-20 </w:t>
      </w:r>
      <w:r>
        <w:rPr>
          <w:rFonts w:cs="David" w:hint="cs"/>
          <w:b/>
          <w:bCs/>
          <w:rtl/>
        </w:rPr>
        <w:t>א. ז. ב. ש. נ' שלמה חברה לביטוח בע"מ</w:t>
      </w:r>
      <w:r>
        <w:rPr>
          <w:rFonts w:cs="David" w:hint="cs"/>
          <w:rtl/>
        </w:rPr>
        <w:t xml:space="preserve"> (12.8.2020) והדבר נכון ביתר שאת מקום בו עסקינן בצדדים אשר מיוצגים על-ידי עורכי דין.</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בתוך כך, המשיבה לא הצביעה על כל מניעה לפעול כאמור בהתראה על מחיקת ההליך מחוסר מעש ולעתור במסגרת מאמציה להסרת המחדל, למשל, לאפשר לה להגיש הודעה בדבר המשך ניהול התביעות, או לעתור לקביעת מועד לדיון "רחוק", על-מנת לבחון את רצינות כוונת המבקש וחזרה לחיים המשותפים.</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תחת זאת, המשיבה בחרה להתעלם מההתראה על מחיקת ההליך מחוסר מעש והתביעות נמחקו בהתאם להתראה זו.</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לאור זאת, אני קובע כי המבקש זכאי לפסיקת הוצאות משפט לטובתו והשאלה שנשאלת הינה היקף הוצאות </w:t>
      </w:r>
      <w:r w:rsidR="00301612">
        <w:rPr>
          <w:rFonts w:cs="David" w:hint="cs"/>
          <w:rtl/>
        </w:rPr>
        <w:t>ה</w:t>
      </w:r>
      <w:r>
        <w:rPr>
          <w:rFonts w:cs="David" w:hint="cs"/>
          <w:rtl/>
        </w:rPr>
        <w:t>משפט.</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b/>
          <w:bCs/>
          <w:rtl/>
        </w:rPr>
        <w:t xml:space="preserve">תקנה 151 (ב) לתקנות </w:t>
      </w:r>
      <w:r>
        <w:rPr>
          <w:rFonts w:cs="David" w:hint="cs"/>
          <w:rtl/>
        </w:rPr>
        <w:t>קובעת כי:</w:t>
      </w:r>
    </w:p>
    <w:p w:rsidR="00DF706C" w:rsidRDefault="00DF706C" w:rsidP="00DF706C">
      <w:pPr>
        <w:spacing w:line="360" w:lineRule="auto"/>
        <w:jc w:val="both"/>
      </w:pPr>
    </w:p>
    <w:p w:rsidR="00DF706C" w:rsidRDefault="00DF706C" w:rsidP="00DF706C">
      <w:pPr>
        <w:spacing w:line="360" w:lineRule="auto"/>
        <w:ind w:left="1133" w:right="1134"/>
        <w:jc w:val="both"/>
        <w:rPr>
          <w:b/>
          <w:bCs/>
          <w:color w:val="000000"/>
          <w:shd w:val="clear" w:color="auto" w:fill="FFFFFF"/>
        </w:rPr>
      </w:pPr>
      <w:r>
        <w:rPr>
          <w:rFonts w:hint="cs"/>
          <w:b/>
          <w:bCs/>
          <w:color w:val="000000"/>
          <w:shd w:val="clear" w:color="auto" w:fill="FFFFFF"/>
          <w:rtl/>
        </w:rPr>
        <w:t>"החלטת בית המשפט בעניין פסיקת ההוצאות ושיעורן תבטא את האיזון הראוי שבין הבטחת זכות הגישה לערכאות, הגנה על זכות הקניין של הפרט ושמירה על שוויון בין בעלי הדין</w:t>
      </w:r>
      <w:r>
        <w:rPr>
          <w:b/>
          <w:bCs/>
          <w:color w:val="000000"/>
          <w:shd w:val="clear" w:color="auto" w:fill="FFFFFF"/>
        </w:rPr>
        <w:t>"</w:t>
      </w:r>
    </w:p>
    <w:p w:rsidR="00DF706C" w:rsidRDefault="00DF706C" w:rsidP="00DF706C">
      <w:pPr>
        <w:pStyle w:val="aa"/>
        <w:rPr>
          <w:rFonts w:cs="David"/>
          <w:rtl/>
        </w:rPr>
      </w:pPr>
    </w:p>
    <w:p w:rsidR="00DF706C" w:rsidRDefault="00DF706C" w:rsidP="00DF706C">
      <w:pPr>
        <w:pStyle w:val="aa"/>
        <w:numPr>
          <w:ilvl w:val="0"/>
          <w:numId w:val="1"/>
        </w:numPr>
        <w:spacing w:line="360" w:lineRule="auto"/>
        <w:jc w:val="both"/>
        <w:rPr>
          <w:rFonts w:cs="David"/>
          <w:rtl/>
        </w:rPr>
      </w:pPr>
      <w:r>
        <w:rPr>
          <w:rFonts w:cs="David" w:hint="cs"/>
          <w:b/>
          <w:bCs/>
          <w:rtl/>
        </w:rPr>
        <w:t>תקנה 152 לתקנות</w:t>
      </w:r>
      <w:r>
        <w:rPr>
          <w:rFonts w:cs="David" w:hint="cs"/>
          <w:rtl/>
        </w:rPr>
        <w:t xml:space="preserve"> קובעת כי:</w:t>
      </w:r>
    </w:p>
    <w:p w:rsidR="00DF706C" w:rsidRDefault="00DF706C" w:rsidP="00DF706C">
      <w:pPr>
        <w:pStyle w:val="aa"/>
        <w:spacing w:line="360" w:lineRule="auto"/>
        <w:jc w:val="both"/>
        <w:rPr>
          <w:rFonts w:cs="David"/>
        </w:rPr>
      </w:pPr>
    </w:p>
    <w:p w:rsidR="00DF706C" w:rsidRDefault="00DF706C" w:rsidP="00DF706C">
      <w:pPr>
        <w:spacing w:line="360" w:lineRule="auto"/>
        <w:ind w:left="1133" w:right="1134"/>
        <w:jc w:val="both"/>
        <w:rPr>
          <w:b/>
          <w:bCs/>
          <w:color w:val="000000"/>
          <w:shd w:val="clear" w:color="auto" w:fill="FFFFFF"/>
        </w:rPr>
      </w:pPr>
      <w:r>
        <w:rPr>
          <w:rFonts w:hint="cs"/>
          <w:b/>
          <w:bCs/>
          <w:color w:val="000000"/>
          <w:shd w:val="clear" w:color="auto" w:fill="FFFFFF"/>
          <w:rtl/>
        </w:rPr>
        <w:t>"בתום הדיון יפסוק בית המשפט הוצאות סבירות והוגנות, זולת אם מצא שקיימים טעמים מיוחדים שלא לחייב בהוצאות כאמור</w:t>
      </w:r>
      <w:r>
        <w:rPr>
          <w:b/>
          <w:bCs/>
          <w:color w:val="000000"/>
          <w:shd w:val="clear" w:color="auto" w:fill="FFFFFF"/>
        </w:rPr>
        <w:t>"</w:t>
      </w:r>
    </w:p>
    <w:p w:rsidR="00DF706C" w:rsidRDefault="00DF706C" w:rsidP="00DF706C">
      <w:pPr>
        <w:spacing w:line="360" w:lineRule="auto"/>
        <w:ind w:left="1133" w:right="1134"/>
        <w:jc w:val="both"/>
        <w:rPr>
          <w:b/>
          <w:bCs/>
          <w:color w:val="000000"/>
          <w:shd w:val="clear" w:color="auto" w:fill="FFFFFF"/>
          <w:rtl/>
        </w:rPr>
      </w:pPr>
    </w:p>
    <w:p w:rsidR="00DF706C" w:rsidRDefault="00DF706C" w:rsidP="00DF706C">
      <w:pPr>
        <w:pStyle w:val="aa"/>
        <w:numPr>
          <w:ilvl w:val="0"/>
          <w:numId w:val="1"/>
        </w:numPr>
        <w:spacing w:line="360" w:lineRule="auto"/>
        <w:jc w:val="both"/>
        <w:rPr>
          <w:rFonts w:cs="David"/>
          <w:rtl/>
        </w:rPr>
      </w:pPr>
      <w:r>
        <w:rPr>
          <w:rFonts w:cs="David" w:hint="cs"/>
          <w:rtl/>
        </w:rPr>
        <w:lastRenderedPageBreak/>
        <w:t xml:space="preserve">על-פי הפסיקה, ככלל יש לפסוק הוצאות ריאליות, בכפוף להיותן סבירות, מידתיות והכרחיות לניהול ההליך </w:t>
      </w:r>
      <w:r>
        <w:rPr>
          <w:rFonts w:cs="David" w:hint="cs"/>
          <w:b/>
          <w:bCs/>
          <w:rtl/>
        </w:rPr>
        <w:t>ראו</w:t>
      </w:r>
      <w:r>
        <w:rPr>
          <w:rFonts w:cs="David" w:hint="cs"/>
          <w:rtl/>
        </w:rPr>
        <w:t xml:space="preserve">: בג"ץ 891/05 </w:t>
      </w:r>
      <w:r>
        <w:rPr>
          <w:rFonts w:cs="David" w:hint="cs"/>
          <w:b/>
          <w:bCs/>
          <w:rtl/>
        </w:rPr>
        <w:t>תנובה מרכז שיתופי לשיווק תוצרת חקלאית בישראל בע"מ נ' הרשות המוסכמת למתן רשיונות יבוא-משרד התעשיה, המסחר והתעסוקה</w:t>
      </w:r>
      <w:r>
        <w:rPr>
          <w:rFonts w:cs="David" w:hint="cs"/>
          <w:rtl/>
        </w:rPr>
        <w:t xml:space="preserve"> (30.6.2005); ע"א 3018/23 </w:t>
      </w:r>
      <w:r>
        <w:rPr>
          <w:rFonts w:cs="David" w:hint="cs"/>
          <w:b/>
          <w:bCs/>
          <w:rtl/>
        </w:rPr>
        <w:t>עו"ד קוגן נ' גרשון</w:t>
      </w:r>
      <w:r>
        <w:rPr>
          <w:rFonts w:cs="David" w:hint="cs"/>
          <w:rtl/>
        </w:rPr>
        <w:t xml:space="preserve"> (14.11.2023). </w:t>
      </w:r>
    </w:p>
    <w:p w:rsidR="00DF706C" w:rsidRDefault="00DF706C" w:rsidP="00DF706C">
      <w:pPr>
        <w:pStyle w:val="aa"/>
        <w:spacing w:line="360" w:lineRule="auto"/>
        <w:jc w:val="both"/>
        <w:rPr>
          <w:rFonts w:cs="David"/>
        </w:rPr>
      </w:pPr>
    </w:p>
    <w:p w:rsidR="00DF706C" w:rsidRDefault="00DF706C" w:rsidP="00DF706C">
      <w:pPr>
        <w:pStyle w:val="aa"/>
        <w:numPr>
          <w:ilvl w:val="0"/>
          <w:numId w:val="1"/>
        </w:numPr>
        <w:spacing w:line="360" w:lineRule="auto"/>
        <w:jc w:val="both"/>
        <w:rPr>
          <w:rFonts w:cs="David"/>
        </w:rPr>
      </w:pPr>
      <w:r>
        <w:rPr>
          <w:rFonts w:cs="David" w:hint="cs"/>
          <w:rtl/>
        </w:rPr>
        <w:t xml:space="preserve">שיעור ההוצאות נקבע תוך בחינת כל 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על-ידי בעל הדין בהליך, ושכר הטרחה ששולם בפועל או שבעל הדין התחייב לשלמו </w:t>
      </w:r>
      <w:r>
        <w:rPr>
          <w:rFonts w:cs="David" w:hint="cs"/>
          <w:b/>
          <w:bCs/>
          <w:rtl/>
        </w:rPr>
        <w:t>ראו</w:t>
      </w:r>
      <w:r>
        <w:rPr>
          <w:rFonts w:cs="David" w:hint="cs"/>
          <w:rtl/>
        </w:rPr>
        <w:t xml:space="preserve">: ע"א 7627/20 </w:t>
      </w:r>
      <w:r>
        <w:rPr>
          <w:rFonts w:cs="David" w:hint="cs"/>
          <w:b/>
          <w:bCs/>
          <w:rtl/>
        </w:rPr>
        <w:t>‏אייזלר החברה לניהול בע"מ נ' תפן מדיקל בע"מ</w:t>
      </w:r>
      <w:r>
        <w:rPr>
          <w:rFonts w:cs="David" w:hint="cs"/>
          <w:rtl/>
        </w:rPr>
        <w:t xml:space="preserve"> (24.2.2022).</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בעניין הוכחת הוצאות ריאליות נפסק כי הטוען להוצאות אלה צריך להוכיח את שיעורן בפועל באמצעות אסמכתאות </w:t>
      </w:r>
      <w:r>
        <w:rPr>
          <w:rFonts w:cs="David" w:hint="cs"/>
          <w:b/>
          <w:bCs/>
          <w:rtl/>
        </w:rPr>
        <w:t>ראו</w:t>
      </w:r>
      <w:r>
        <w:rPr>
          <w:rFonts w:cs="David" w:hint="cs"/>
          <w:rtl/>
        </w:rPr>
        <w:t>: בג"ץ 377/07</w:t>
      </w:r>
      <w:r>
        <w:rPr>
          <w:rFonts w:cs="David" w:hint="cs"/>
          <w:b/>
          <w:bCs/>
          <w:rtl/>
        </w:rPr>
        <w:t xml:space="preserve"> מולאיוף נ' בית הדין הארצי לעבודה</w:t>
      </w:r>
      <w:r>
        <w:rPr>
          <w:rFonts w:cs="David" w:hint="cs"/>
          <w:rtl/>
        </w:rPr>
        <w:t xml:space="preserve"> (4.11.2007); בג"ץ </w:t>
      </w:r>
      <w:r>
        <w:rPr>
          <w:rFonts w:cs="David"/>
        </w:rPr>
        <w:t>3408/22</w:t>
      </w:r>
      <w:r>
        <w:rPr>
          <w:rFonts w:cs="David"/>
          <w:rtl/>
        </w:rPr>
        <w:t xml:space="preserve"> </w:t>
      </w:r>
      <w:r>
        <w:rPr>
          <w:rFonts w:cs="David" w:hint="cs"/>
          <w:b/>
          <w:bCs/>
          <w:rtl/>
        </w:rPr>
        <w:t xml:space="preserve">תולדות ייזום והשקעות בע"מ נ' שר האוצר </w:t>
      </w:r>
      <w:r>
        <w:rPr>
          <w:rFonts w:cs="David" w:hint="cs"/>
          <w:rtl/>
        </w:rPr>
        <w:t>(25.8.2024).</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במקרה שלפניי, המבקש צירף חשבוניות מס על סך של 23,550 ₪, כולל מע"מ. המשיבה לא חלקה על תשלום סך זה ולא טענה כי הוא אינו סביר. </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עיון בתיק בית המשפט מוביל למסקנה כי עניין לנו בשני הליכים משפטיים, במסגרתם הוגשו על-ידי המבקש כתבי הגנה, בקשות ותגובות, לרבות תגובה לבקשה לפסיקת מזונות זמניים אשר נדחתה בהחלטה מיום 27.11.23 ובקשה זו.</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lastRenderedPageBreak/>
        <w:t>במצב דברים זה, כאשר אני מביא בחשבון, בין היתר, את העובדה כי התובע שילם שכר טרחה בפועל, שלא היה נדרש לשלם אלמלא הגשת התביעות ובהעדר טענת המשיבה לאי-סבירות שכר הטרחה, אני קובע כי הוצאות המשפט בסך של 23,550 ₪ כולל מע"מ הינן הוצאות משפט סבירות.</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כפועל יוצא, אני מחייב את המשיבה בסך של 23,550 ₪ אשר ישולם בתוך 30 ימים, כאשר סך זה מביא בחשבון גם הוצאות משפט בגין הגשת הבקשה.</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בשולי ההחלטה מצאתי מקום להתייחס לכוונת המשיבה להגיש בקשה לביטול מחיקת ההליך מחוסר מעש. </w:t>
      </w:r>
    </w:p>
    <w:p w:rsidR="00DF706C" w:rsidRDefault="00DF706C" w:rsidP="00DF706C">
      <w:pPr>
        <w:pStyle w:val="aa"/>
        <w:rPr>
          <w:rFonts w:cs="David"/>
        </w:rPr>
      </w:pPr>
    </w:p>
    <w:p w:rsidR="00DF706C" w:rsidRDefault="00DF706C" w:rsidP="00DF706C">
      <w:pPr>
        <w:pStyle w:val="aa"/>
        <w:numPr>
          <w:ilvl w:val="0"/>
          <w:numId w:val="1"/>
        </w:numPr>
        <w:spacing w:line="360" w:lineRule="auto"/>
        <w:jc w:val="both"/>
        <w:rPr>
          <w:rFonts w:cs="David"/>
          <w:rtl/>
        </w:rPr>
      </w:pPr>
      <w:r>
        <w:rPr>
          <w:rFonts w:cs="David" w:hint="cs"/>
          <w:rtl/>
        </w:rPr>
        <w:t xml:space="preserve">נקבע בפסיקה כי מעת שהתביעה נמחקה מחמת חוסר מעש, לא ניתן להגיש בקשה לביטול המחיקה והדרך להשיג על כך היא בהגשת ערעור או שניתן להגיש תביעה חדשה במקום זו שנמחקה </w:t>
      </w:r>
      <w:r>
        <w:rPr>
          <w:rFonts w:cs="David" w:hint="cs"/>
          <w:b/>
          <w:bCs/>
          <w:rtl/>
        </w:rPr>
        <w:t>ראו</w:t>
      </w:r>
      <w:r>
        <w:rPr>
          <w:rFonts w:cs="David" w:hint="cs"/>
          <w:rtl/>
        </w:rPr>
        <w:t xml:space="preserve">: רע"א 8566/14 </w:t>
      </w:r>
      <w:r>
        <w:rPr>
          <w:rFonts w:cs="David" w:hint="cs"/>
          <w:b/>
          <w:bCs/>
          <w:rtl/>
        </w:rPr>
        <w:t>גרבלי נ' עיריית אשדוד</w:t>
      </w:r>
      <w:r>
        <w:rPr>
          <w:rFonts w:cs="David" w:hint="cs"/>
          <w:rtl/>
        </w:rPr>
        <w:t xml:space="preserve"> (5.5.2015); ת"א (מחוזי ירושלים) 20341-04-20 </w:t>
      </w:r>
      <w:r>
        <w:rPr>
          <w:rFonts w:cs="David" w:hint="cs"/>
          <w:b/>
          <w:bCs/>
          <w:rtl/>
        </w:rPr>
        <w:t xml:space="preserve">פלוני נ' שערי ירושלים </w:t>
      </w:r>
      <w:r>
        <w:rPr>
          <w:rFonts w:cs="David" w:hint="cs"/>
          <w:rtl/>
        </w:rPr>
        <w:t>(14.9.2020).</w:t>
      </w:r>
    </w:p>
    <w:p w:rsidR="00DF706C" w:rsidRDefault="00DF706C" w:rsidP="00DF706C">
      <w:pPr>
        <w:pStyle w:val="aa"/>
        <w:rPr>
          <w:rFonts w:cs="David"/>
        </w:rPr>
      </w:pPr>
    </w:p>
    <w:p w:rsidR="00DF706C" w:rsidRDefault="00DF706C" w:rsidP="00301612">
      <w:pPr>
        <w:pStyle w:val="aa"/>
        <w:numPr>
          <w:ilvl w:val="0"/>
          <w:numId w:val="1"/>
        </w:numPr>
        <w:spacing w:line="360" w:lineRule="auto"/>
        <w:jc w:val="both"/>
        <w:rPr>
          <w:rFonts w:cs="David"/>
        </w:rPr>
      </w:pPr>
      <w:r>
        <w:rPr>
          <w:rFonts w:cs="David" w:hint="cs"/>
          <w:rtl/>
        </w:rPr>
        <w:t>בתוך כך, בטרם תוגש הבקשה לביטול מחיקת התביעות מחוסר מעש, מוצע למשיבה לבחון את הטעם בהגשת הבקשה.</w:t>
      </w:r>
    </w:p>
    <w:p w:rsidR="00301612" w:rsidRPr="00301612" w:rsidRDefault="00301612" w:rsidP="00301612">
      <w:pPr>
        <w:pStyle w:val="aa"/>
        <w:rPr>
          <w:rFonts w:cs="David"/>
          <w:rtl/>
        </w:rPr>
      </w:pPr>
    </w:p>
    <w:p w:rsidR="00301612" w:rsidRDefault="00301612" w:rsidP="00301612">
      <w:pPr>
        <w:pStyle w:val="aa"/>
        <w:numPr>
          <w:ilvl w:val="0"/>
          <w:numId w:val="1"/>
        </w:numPr>
        <w:spacing w:line="360" w:lineRule="auto"/>
        <w:jc w:val="both"/>
        <w:rPr>
          <w:rFonts w:cs="David"/>
        </w:rPr>
      </w:pPr>
      <w:r>
        <w:rPr>
          <w:rFonts w:cs="David" w:hint="cs"/>
          <w:rtl/>
        </w:rPr>
        <w:t>ההחלטה מותרת לפרסום לאחר השמטת פרטים מזהים.</w:t>
      </w:r>
    </w:p>
    <w:p w:rsidR="00301612" w:rsidRPr="00301612" w:rsidRDefault="00301612" w:rsidP="00301612">
      <w:pPr>
        <w:pStyle w:val="aa"/>
        <w:rPr>
          <w:rFonts w:cs="David"/>
          <w:rtl/>
        </w:rPr>
      </w:pPr>
    </w:p>
    <w:p w:rsidR="00301612" w:rsidRPr="00301612" w:rsidRDefault="00301612" w:rsidP="00301612">
      <w:pPr>
        <w:pStyle w:val="aa"/>
        <w:spacing w:line="360" w:lineRule="auto"/>
        <w:jc w:val="both"/>
        <w:rPr>
          <w:rFonts w:cs="David"/>
          <w:rtl/>
        </w:rPr>
      </w:pPr>
    </w:p>
    <w:p w:rsidR="00DF706C" w:rsidRDefault="00DF706C" w:rsidP="00DF706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א' אלול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04 ספטמבר 2024</w:t>
          </w:r>
        </w:sdtContent>
      </w:sdt>
      <w:r>
        <w:rPr>
          <w:rFonts w:ascii="Arial" w:hAnsi="Arial"/>
          <w:noProof w:val="0"/>
          <w:rtl/>
        </w:rPr>
        <w:t>, בהעדר הצדדים.</w:t>
      </w:r>
    </w:p>
    <w:p w:rsidR="00DF706C" w:rsidRDefault="00DF706C" w:rsidP="00DF706C">
      <w:pPr>
        <w:spacing w:line="360" w:lineRule="auto"/>
        <w:jc w:val="center"/>
        <w:rPr>
          <w:rFonts w:ascii="Arial" w:hAnsi="Arial"/>
          <w:noProof w:val="0"/>
          <w:rtl/>
        </w:rPr>
      </w:pPr>
    </w:p>
    <w:p w:rsidR="00163E75" w:rsidRDefault="00DF706C" w:rsidP="00DF706C">
      <w:pPr>
        <w:spacing w:line="360" w:lineRule="auto"/>
        <w:jc w:val="center"/>
      </w:pPr>
      <w:r>
        <w:rPr>
          <w:rFonts w:ascii="Arial" w:hAnsi="Arial"/>
          <w:noProof w:val="0"/>
          <w:rtl/>
        </w:rPr>
        <w:tab/>
      </w:r>
      <w:r>
        <w:rPr>
          <w:rFonts w:ascii="Arial" w:hAnsi="Arial"/>
          <w:noProof w:val="0"/>
          <w:rtl/>
        </w:rPr>
        <w:tab/>
      </w:r>
      <w:sdt>
        <w:sdtPr>
          <w:rPr>
            <w:rtl/>
          </w:rPr>
          <w:alias w:val="MergeField"/>
          <w:tag w:val="1237"/>
          <w:id w:val="-1632467551"/>
        </w:sdtPr>
        <w:sdtEndPr/>
        <w:sdtContent>
          <w:r>
            <w:drawing>
              <wp:inline distT="0" distB="0" distL="0" distR="0" wp14:anchorId="46D40C87" wp14:editId="4FF1717B">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sectPr w:rsidR="00163E75" w:rsidSect="00E91F3C">
      <w:headerReference w:type="default" r:id="rId8"/>
      <w:footerReference w:type="default" r:id="rId9"/>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E3C" w:rsidRDefault="00FF0E3C">
      <w:r>
        <w:separator/>
      </w:r>
    </w:p>
  </w:endnote>
  <w:endnote w:type="continuationSeparator" w:id="0">
    <w:p w:rsidR="00FF0E3C" w:rsidRDefault="00FF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F706C">
    <w:pPr>
      <w:pStyle w:val="a5"/>
      <w:jc w:val="center"/>
      <w:rPr>
        <w:rStyle w:val="a8"/>
      </w:rPr>
    </w:pPr>
    <w:r>
      <w:rPr>
        <w:rStyle w:val="a8"/>
      </w:rPr>
      <w:fldChar w:fldCharType="begin"/>
    </w:r>
    <w:r>
      <w:rPr>
        <w:rStyle w:val="a8"/>
      </w:rPr>
      <w:instrText xml:space="preserve"> PAGE </w:instrText>
    </w:r>
    <w:r>
      <w:rPr>
        <w:rStyle w:val="a8"/>
      </w:rPr>
      <w:fldChar w:fldCharType="separate"/>
    </w:r>
    <w:r w:rsidR="000807BD">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0807BD">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E3C" w:rsidRDefault="00FF0E3C">
      <w:r>
        <w:separator/>
      </w:r>
    </w:p>
  </w:footnote>
  <w:footnote w:type="continuationSeparator" w:id="0">
    <w:p w:rsidR="00FF0E3C" w:rsidRDefault="00FF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F706C">
    <w:pPr>
      <w:pStyle w:val="a3"/>
      <w:jc w:val="center"/>
      <w:rPr>
        <w:rFonts w:cs="FrankRuehl"/>
        <w:noProof w:val="0"/>
        <w:sz w:val="28"/>
        <w:szCs w:val="28"/>
        <w:rtl/>
      </w:rPr>
    </w:pPr>
    <w:r>
      <w:rPr>
        <w:rFonts w:cs="FrankRuehl"/>
        <w:sz w:val="28"/>
        <w:szCs w:val="28"/>
      </w:rPr>
      <w:drawing>
        <wp:inline distT="0" distB="0" distL="0" distR="0" wp14:anchorId="482D9285" wp14:editId="175ADB2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DF706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FF0E3C">
          <w:pPr>
            <w:rPr>
              <w:b/>
              <w:bCs/>
              <w:noProof w:val="0"/>
              <w:sz w:val="26"/>
              <w:szCs w:val="26"/>
              <w:rtl/>
            </w:rPr>
          </w:pPr>
        </w:p>
      </w:tc>
      <w:sdt>
        <w:sdtPr>
          <w:rPr>
            <w:rtl/>
          </w:rPr>
          <w:alias w:val="1456"/>
          <w:tag w:val="1456"/>
          <w:id w:val="-1143425472"/>
          <w:text/>
        </w:sdtPr>
        <w:sdtEndPr/>
        <w:sdtContent>
          <w:tc>
            <w:tcPr>
              <w:tcW w:w="3674" w:type="dxa"/>
            </w:tcPr>
            <w:p w:rsidR="002914D6" w:rsidRDefault="00DF706C">
              <w:pPr>
                <w:pStyle w:val="a3"/>
                <w:jc w:val="right"/>
                <w:rPr>
                  <w:b/>
                  <w:bCs/>
                  <w:noProof w:val="0"/>
                  <w:sz w:val="26"/>
                  <w:szCs w:val="26"/>
                  <w:rtl/>
                </w:rPr>
              </w:pPr>
              <w:r>
                <w:rPr>
                  <w:b/>
                  <w:bCs/>
                  <w:noProof w:val="0"/>
                  <w:sz w:val="26"/>
                  <w:szCs w:val="26"/>
                  <w:rtl/>
                </w:rPr>
                <w:t>04 ספטמבר 2024</w:t>
              </w:r>
            </w:p>
          </w:tc>
        </w:sdtContent>
      </w:sdt>
    </w:tr>
    <w:tr w:rsidR="002914D6">
      <w:trPr>
        <w:trHeight w:val="337"/>
        <w:jc w:val="center"/>
      </w:trPr>
      <w:tc>
        <w:tcPr>
          <w:tcW w:w="8721" w:type="dxa"/>
          <w:gridSpan w:val="2"/>
        </w:tcPr>
        <w:p w:rsidR="002914D6" w:rsidRDefault="00FF0E3C" w:rsidP="0031197B">
          <w:pPr>
            <w:rPr>
              <w:b/>
              <w:bCs/>
              <w:noProof w:val="0"/>
              <w:sz w:val="26"/>
              <w:szCs w:val="26"/>
              <w:rtl/>
            </w:rPr>
          </w:pPr>
          <w:sdt>
            <w:sdtPr>
              <w:rPr>
                <w:rtl/>
              </w:rPr>
              <w:alias w:val="1170"/>
              <w:tag w:val="1170"/>
              <w:id w:val="632838173"/>
              <w:text w:multiLine="1"/>
            </w:sdtPr>
            <w:sdtEndPr/>
            <w:sdtContent>
              <w:r w:rsidR="00DF706C">
                <w:rPr>
                  <w:b/>
                  <w:bCs/>
                  <w:noProof w:val="0"/>
                  <w:sz w:val="26"/>
                  <w:szCs w:val="26"/>
                  <w:rtl/>
                </w:rPr>
                <w:t>תלה"מ</w:t>
              </w:r>
            </w:sdtContent>
          </w:sdt>
          <w:r w:rsidR="00DF706C">
            <w:rPr>
              <w:b/>
              <w:bCs/>
              <w:noProof w:val="0"/>
              <w:sz w:val="26"/>
              <w:szCs w:val="26"/>
              <w:rtl/>
            </w:rPr>
            <w:t xml:space="preserve"> </w:t>
          </w:r>
          <w:sdt>
            <w:sdtPr>
              <w:rPr>
                <w:rtl/>
              </w:rPr>
              <w:alias w:val="1171"/>
              <w:tag w:val="1171"/>
              <w:id w:val="-1684506308"/>
              <w:text w:multiLine="1"/>
            </w:sdtPr>
            <w:sdtEndPr/>
            <w:sdtContent>
              <w:r w:rsidR="00DF706C">
                <w:rPr>
                  <w:b/>
                  <w:bCs/>
                  <w:noProof w:val="0"/>
                  <w:sz w:val="26"/>
                  <w:szCs w:val="26"/>
                  <w:rtl/>
                </w:rPr>
                <w:t>40549-05-23</w:t>
              </w:r>
            </w:sdtContent>
          </w:sdt>
          <w:r w:rsidR="00DF706C">
            <w:rPr>
              <w:b/>
              <w:bCs/>
              <w:noProof w:val="0"/>
              <w:sz w:val="26"/>
              <w:szCs w:val="26"/>
              <w:rtl/>
            </w:rPr>
            <w:t xml:space="preserve"> </w:t>
          </w:r>
          <w:sdt>
            <w:sdtPr>
              <w:rPr>
                <w:rtl/>
              </w:rPr>
              <w:alias w:val="1172"/>
              <w:tag w:val="1172"/>
              <w:id w:val="1484202908"/>
              <w:text w:multiLine="1"/>
            </w:sdtPr>
            <w:sdtEndPr/>
            <w:sdtContent>
              <w:r w:rsidR="0031197B">
                <w:rPr>
                  <w:rFonts w:hint="cs"/>
                  <w:b/>
                  <w:bCs/>
                  <w:noProof w:val="0"/>
                  <w:sz w:val="26"/>
                  <w:szCs w:val="26"/>
                  <w:rtl/>
                </w:rPr>
                <w:t>פ.</w:t>
              </w:r>
              <w:r w:rsidR="00DF706C">
                <w:rPr>
                  <w:b/>
                  <w:bCs/>
                  <w:noProof w:val="0"/>
                  <w:sz w:val="26"/>
                  <w:szCs w:val="26"/>
                  <w:rtl/>
                </w:rPr>
                <w:t xml:space="preserve"> נ' </w:t>
              </w:r>
              <w:r w:rsidR="0031197B">
                <w:rPr>
                  <w:rFonts w:hint="cs"/>
                  <w:b/>
                  <w:bCs/>
                  <w:noProof w:val="0"/>
                  <w:sz w:val="26"/>
                  <w:szCs w:val="26"/>
                  <w:rtl/>
                </w:rPr>
                <w:t>ד.</w:t>
              </w:r>
            </w:sdtContent>
          </w:sdt>
        </w:p>
        <w:p w:rsidR="002914D6" w:rsidRDefault="00FF0E3C">
          <w:pPr>
            <w:rPr>
              <w:rtl/>
            </w:rPr>
          </w:pPr>
        </w:p>
        <w:p w:rsidR="0022406B" w:rsidRDefault="00FF0E3C">
          <w:pPr>
            <w:rPr>
              <w:rtl/>
            </w:rPr>
          </w:pPr>
        </w:p>
      </w:tc>
    </w:tr>
  </w:tbl>
  <w:p w:rsidR="002914D6" w:rsidRDefault="00DF706C">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44D1D"/>
    <w:multiLevelType w:val="hybridMultilevel"/>
    <w:tmpl w:val="9EDE4E1A"/>
    <w:lvl w:ilvl="0" w:tplc="B1B045E2">
      <w:start w:val="1"/>
      <w:numFmt w:val="decimal"/>
      <w:lvlText w:val="%1."/>
      <w:lvlJc w:val="left"/>
      <w:pPr>
        <w:ind w:left="720" w:hanging="360"/>
      </w:pPr>
      <w:rPr>
        <w:rFonts w:ascii="David" w:hAnsi="David" w:cs="David" w:hint="default"/>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E23"/>
    <w:rsid w:val="000807BD"/>
    <w:rsid w:val="00163E75"/>
    <w:rsid w:val="002E4D75"/>
    <w:rsid w:val="00301612"/>
    <w:rsid w:val="0031197B"/>
    <w:rsid w:val="00480470"/>
    <w:rsid w:val="00957E23"/>
    <w:rsid w:val="009F244E"/>
    <w:rsid w:val="00B47012"/>
    <w:rsid w:val="00C412BA"/>
    <w:rsid w:val="00DF706C"/>
    <w:rsid w:val="00FF0E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64A183-E23E-44F4-8BBF-558306797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06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706C"/>
    <w:pPr>
      <w:tabs>
        <w:tab w:val="center" w:pos="4153"/>
        <w:tab w:val="right" w:pos="8306"/>
      </w:tabs>
    </w:pPr>
  </w:style>
  <w:style w:type="character" w:customStyle="1" w:styleId="a4">
    <w:name w:val="כותרת עליונה תו"/>
    <w:basedOn w:val="a0"/>
    <w:link w:val="a3"/>
    <w:rsid w:val="00DF706C"/>
    <w:rPr>
      <w:rFonts w:ascii="Times New Roman" w:eastAsia="Times New Roman" w:hAnsi="Times New Roman" w:cs="David"/>
      <w:noProof/>
      <w:sz w:val="24"/>
      <w:szCs w:val="24"/>
    </w:rPr>
  </w:style>
  <w:style w:type="paragraph" w:styleId="a5">
    <w:name w:val="footer"/>
    <w:basedOn w:val="a"/>
    <w:link w:val="a6"/>
    <w:rsid w:val="00DF706C"/>
    <w:pPr>
      <w:tabs>
        <w:tab w:val="center" w:pos="4153"/>
        <w:tab w:val="right" w:pos="8306"/>
      </w:tabs>
    </w:pPr>
  </w:style>
  <w:style w:type="character" w:customStyle="1" w:styleId="a6">
    <w:name w:val="כותרת תחתונה תו"/>
    <w:basedOn w:val="a0"/>
    <w:link w:val="a5"/>
    <w:rsid w:val="00DF706C"/>
    <w:rPr>
      <w:rFonts w:ascii="Times New Roman" w:eastAsia="Times New Roman" w:hAnsi="Times New Roman" w:cs="David"/>
      <w:noProof/>
      <w:sz w:val="24"/>
      <w:szCs w:val="24"/>
    </w:rPr>
  </w:style>
  <w:style w:type="table" w:styleId="a7">
    <w:name w:val="Table Grid"/>
    <w:basedOn w:val="a1"/>
    <w:rsid w:val="00DF706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F706C"/>
  </w:style>
  <w:style w:type="table" w:styleId="a9">
    <w:name w:val="Grid Table Light"/>
    <w:basedOn w:val="a1"/>
    <w:uiPriority w:val="40"/>
    <w:rsid w:val="00DF706C"/>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qFormat/>
    <w:rsid w:val="00DF706C"/>
    <w:pPr>
      <w:spacing w:line="254" w:lineRule="auto"/>
      <w:ind w:left="720"/>
      <w:contextualSpacing/>
    </w:pPr>
    <w:rPr>
      <w:rFonts w:ascii="David" w:hAnsi="David" w:cs="Arial"/>
      <w:noProof w:val="0"/>
    </w:rPr>
  </w:style>
  <w:style w:type="character" w:styleId="ab">
    <w:name w:val="line number"/>
    <w:basedOn w:val="a0"/>
    <w:uiPriority w:val="99"/>
    <w:semiHidden/>
    <w:unhideWhenUsed/>
    <w:rsid w:val="00DF7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1107</Words>
  <Characters>5538</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dcterms:created xsi:type="dcterms:W3CDTF">2024-09-16T10:02:00Z</dcterms:created>
  <dcterms:modified xsi:type="dcterms:W3CDTF">2024-09-16T10:02:00Z</dcterms:modified>
</cp:coreProperties>
</file>